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8E" w:rsidRDefault="00E3708E" w:rsidP="00EB6158">
      <w:pPr>
        <w:rPr>
          <w:rFonts w:ascii="Helvetica" w:eastAsia="Times New Roman" w:hAnsi="Helvetica" w:cs="Times New Roman"/>
          <w:b/>
          <w:iCs/>
          <w:color w:val="000000"/>
          <w:sz w:val="20"/>
          <w:szCs w:val="20"/>
          <w:lang w:eastAsia="de-DE"/>
        </w:rPr>
      </w:pPr>
      <w:proofErr w:type="spellStart"/>
      <w:r>
        <w:rPr>
          <w:rFonts w:ascii="Helvetica" w:eastAsia="Times New Roman" w:hAnsi="Helvetica" w:cs="Times New Roman"/>
          <w:b/>
          <w:iCs/>
          <w:color w:val="000000"/>
          <w:sz w:val="20"/>
          <w:szCs w:val="20"/>
          <w:lang w:eastAsia="de-DE"/>
        </w:rPr>
        <w:t>Workday</w:t>
      </w:r>
      <w:proofErr w:type="spellEnd"/>
      <w:r>
        <w:rPr>
          <w:rFonts w:ascii="Helvetica" w:eastAsia="Times New Roman" w:hAnsi="Helvetica" w:cs="Times New Roman"/>
          <w:b/>
          <w:iCs/>
          <w:color w:val="000000"/>
          <w:sz w:val="20"/>
          <w:szCs w:val="20"/>
          <w:lang w:eastAsia="de-DE"/>
        </w:rPr>
        <w:t xml:space="preserve"> informiert:</w:t>
      </w:r>
    </w:p>
    <w:p w:rsidR="00E3708E" w:rsidRDefault="00E3708E" w:rsidP="00EB6158">
      <w:pPr>
        <w:rPr>
          <w:rFonts w:ascii="Helvetica" w:eastAsia="Times New Roman" w:hAnsi="Helvetica" w:cs="Times New Roman"/>
          <w:b/>
          <w:iCs/>
          <w:color w:val="000000"/>
          <w:sz w:val="20"/>
          <w:szCs w:val="20"/>
          <w:lang w:eastAsia="de-DE"/>
        </w:rPr>
      </w:pPr>
    </w:p>
    <w:p w:rsidR="00E3708E" w:rsidRPr="00E3708E" w:rsidRDefault="00E3708E" w:rsidP="00E3708E">
      <w:pPr>
        <w:jc w:val="center"/>
        <w:rPr>
          <w:rFonts w:ascii="Helvetica" w:eastAsia="Times New Roman" w:hAnsi="Helvetica" w:cs="Times New Roman"/>
          <w:b/>
          <w:iCs/>
          <w:color w:val="000000"/>
          <w:lang w:eastAsia="de-DE"/>
        </w:rPr>
      </w:pPr>
      <w:proofErr w:type="spellStart"/>
      <w:r w:rsidRPr="00E3708E">
        <w:rPr>
          <w:rFonts w:ascii="Helvetica" w:eastAsia="Times New Roman" w:hAnsi="Helvetica" w:cs="Times New Roman"/>
          <w:b/>
          <w:iCs/>
          <w:color w:val="000000"/>
          <w:lang w:eastAsia="de-DE"/>
        </w:rPr>
        <w:t>Workday</w:t>
      </w:r>
      <w:proofErr w:type="spellEnd"/>
      <w:r w:rsidRPr="00E3708E">
        <w:rPr>
          <w:rFonts w:ascii="Helvetica" w:eastAsia="Times New Roman" w:hAnsi="Helvetica" w:cs="Times New Roman"/>
          <w:b/>
          <w:iCs/>
          <w:color w:val="000000"/>
          <w:lang w:eastAsia="de-DE"/>
        </w:rPr>
        <w:t xml:space="preserve"> ernennt Angelique de Vries </w:t>
      </w:r>
      <w:r w:rsidR="00590DA9">
        <w:rPr>
          <w:rFonts w:ascii="Helvetica" w:eastAsia="Times New Roman" w:hAnsi="Helvetica" w:cs="Times New Roman"/>
          <w:b/>
          <w:iCs/>
          <w:color w:val="000000"/>
          <w:lang w:eastAsia="de-DE"/>
        </w:rPr>
        <w:t>als</w:t>
      </w:r>
      <w:bookmarkStart w:id="0" w:name="_GoBack"/>
      <w:bookmarkEnd w:id="0"/>
      <w:r w:rsidRPr="00E3708E">
        <w:rPr>
          <w:rFonts w:ascii="Helvetica" w:eastAsia="Times New Roman" w:hAnsi="Helvetica" w:cs="Times New Roman"/>
          <w:b/>
          <w:iCs/>
          <w:color w:val="000000"/>
          <w:lang w:eastAsia="de-DE"/>
        </w:rPr>
        <w:t xml:space="preserve"> </w:t>
      </w:r>
      <w:proofErr w:type="spellStart"/>
      <w:r w:rsidR="00590DA9">
        <w:rPr>
          <w:rFonts w:ascii="Helvetica" w:eastAsia="Times New Roman" w:hAnsi="Helvetica" w:cs="Times New Roman"/>
          <w:b/>
          <w:iCs/>
          <w:color w:val="000000"/>
          <w:lang w:eastAsia="de-DE"/>
        </w:rPr>
        <w:t>President</w:t>
      </w:r>
      <w:proofErr w:type="spellEnd"/>
      <w:r w:rsidRPr="00E3708E">
        <w:rPr>
          <w:rFonts w:ascii="Helvetica" w:eastAsia="Times New Roman" w:hAnsi="Helvetica" w:cs="Times New Roman"/>
          <w:b/>
          <w:iCs/>
          <w:color w:val="000000"/>
          <w:lang w:eastAsia="de-DE"/>
        </w:rPr>
        <w:t xml:space="preserve"> </w:t>
      </w:r>
      <w:r w:rsidR="00472B4C">
        <w:rPr>
          <w:rFonts w:ascii="Helvetica" w:eastAsia="Times New Roman" w:hAnsi="Helvetica" w:cs="Times New Roman"/>
          <w:b/>
          <w:iCs/>
          <w:color w:val="000000"/>
          <w:lang w:eastAsia="de-DE"/>
        </w:rPr>
        <w:t>für</w:t>
      </w:r>
      <w:r w:rsidRPr="00E3708E">
        <w:rPr>
          <w:rFonts w:ascii="Helvetica" w:eastAsia="Times New Roman" w:hAnsi="Helvetica" w:cs="Times New Roman"/>
          <w:b/>
          <w:iCs/>
          <w:color w:val="000000"/>
          <w:lang w:eastAsia="de-DE"/>
        </w:rPr>
        <w:t xml:space="preserve"> EMEA</w:t>
      </w:r>
    </w:p>
    <w:p w:rsidR="00E3708E" w:rsidRDefault="00E3708E" w:rsidP="00EB6158">
      <w:pPr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</w:pP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Workday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hat </w:t>
      </w:r>
      <w:r w:rsidRPr="000C6B8C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letzte</w:t>
      </w: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Woche die Ernennung von Angelique de Vries als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President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für EMEA bekannt gegeben. Als Managerin mit langjähriger Expertise im europäischen Cloud-Geschäft wird sie künftig an Doug Robinson, Co-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President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von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Workday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, berichten. In ihrer Funktion verantwortet sie die EMEA-Geschäfte und die regionale Wachstumsstrategie des Unternehmens. Mit mehr als 2000 Kunden mit Hauptsitz in Europa und starkem internationalen Wachstum im zweiten Quartal baut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Workday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sein Geschäft in der EMEA-Region weiterhin konstant aus. </w:t>
      </w: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Angelique de Vries greift auf umfangreiche Erfahrungen in der internationalen Software</w:t>
      </w:r>
      <w:r w:rsidRPr="000C6B8C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-B</w:t>
      </w: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ranche zurück. Zuletzt war sie als Executive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Vice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President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und CEO für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Salesforce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Northern Europe tätig und leitete die Geschäfte in Benelux und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Nordics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. </w:t>
      </w:r>
      <w:r w:rsidRPr="000C6B8C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Davor war</w:t>
      </w: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sie 24 Jahre bei SAP, unter anderem als Senior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Vice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President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of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Global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Presales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and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Customer Experience. </w:t>
      </w: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Angelique de Vries übernimmt von Carolyn Horne die Rolle des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President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für EMEA. Carolyn Horne bekleidet in Zukunft die neu geschaffene Position als Strategic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Advisor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für </w:t>
      </w:r>
      <w:proofErr w:type="spellStart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Workdays</w:t>
      </w:r>
      <w:proofErr w:type="spellEnd"/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 Schlüssel-Kunden in der Region.</w:t>
      </w:r>
    </w:p>
    <w:p w:rsidR="00EB6158" w:rsidRPr="00EB6158" w:rsidRDefault="00EB6158" w:rsidP="00EB6158">
      <w:pPr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</w:pPr>
    </w:p>
    <w:p w:rsidR="00EB6158" w:rsidRPr="000C6B8C" w:rsidRDefault="00EB6158" w:rsidP="00EB6158">
      <w:pPr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</w:pP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 xml:space="preserve">Die offizielle </w:t>
      </w:r>
      <w:r w:rsidRPr="000C6B8C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Medien</w:t>
      </w:r>
      <w:r w:rsidRPr="00EB6158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mitteilung zur Nachricht finden Sie gerne </w:t>
      </w:r>
      <w:hyperlink r:id="rId4" w:history="1">
        <w:r w:rsidRPr="000C6B8C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eastAsia="de-DE"/>
          </w:rPr>
          <w:t>hier</w:t>
        </w:r>
      </w:hyperlink>
      <w:r w:rsidRPr="00EB6158">
        <w:rPr>
          <w:rFonts w:ascii="Helvetica" w:eastAsia="Times New Roman" w:hAnsi="Helvetica" w:cs="Times New Roman"/>
          <w:color w:val="000000"/>
          <w:sz w:val="20"/>
          <w:szCs w:val="20"/>
          <w:lang w:eastAsia="de-DE"/>
        </w:rPr>
        <w:t>, </w:t>
      </w:r>
      <w:r w:rsidRPr="000C6B8C"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  <w:t>Bildmaterial gibt es hier zum Download</w:t>
      </w:r>
    </w:p>
    <w:p w:rsidR="00EB6158" w:rsidRPr="000C6B8C" w:rsidRDefault="00EB6158" w:rsidP="00EB6158">
      <w:pPr>
        <w:rPr>
          <w:rFonts w:ascii="Helvetica" w:eastAsia="Times New Roman" w:hAnsi="Helvetica" w:cs="Times New Roman"/>
          <w:iCs/>
          <w:color w:val="000000"/>
          <w:sz w:val="20"/>
          <w:szCs w:val="20"/>
          <w:lang w:eastAsia="de-DE"/>
        </w:rPr>
      </w:pPr>
    </w:p>
    <w:p w:rsidR="00EB6158" w:rsidRPr="00EB6158" w:rsidRDefault="00EB6158" w:rsidP="00EB6158">
      <w:pPr>
        <w:rPr>
          <w:rFonts w:ascii="Helvetica" w:eastAsia="Times New Roman" w:hAnsi="Helvetica" w:cs="Times New Roman"/>
          <w:sz w:val="20"/>
          <w:szCs w:val="20"/>
          <w:lang w:eastAsia="de-DE"/>
        </w:rPr>
      </w:pPr>
    </w:p>
    <w:p w:rsidR="000C6B8C" w:rsidRPr="000C6B8C" w:rsidRDefault="000C6B8C" w:rsidP="000C6B8C">
      <w:pPr>
        <w:rPr>
          <w:rFonts w:ascii="Helvetica" w:eastAsia="Arial" w:hAnsi="Helvetica" w:cs="Arial"/>
          <w:color w:val="000000"/>
          <w:sz w:val="20"/>
          <w:szCs w:val="20"/>
        </w:rPr>
      </w:pPr>
      <w:r w:rsidRPr="000C6B8C">
        <w:rPr>
          <w:rFonts w:ascii="Helvetica" w:eastAsia="Arial" w:hAnsi="Helvetica" w:cs="Arial"/>
          <w:b/>
          <w:color w:val="000000"/>
          <w:sz w:val="20"/>
          <w:szCs w:val="20"/>
        </w:rPr>
        <w:t xml:space="preserve">Über </w:t>
      </w:r>
      <w:proofErr w:type="spellStart"/>
      <w:r w:rsidRPr="000C6B8C">
        <w:rPr>
          <w:rFonts w:ascii="Helvetica" w:eastAsia="Arial" w:hAnsi="Helvetica" w:cs="Arial"/>
          <w:b/>
          <w:color w:val="000000"/>
          <w:sz w:val="20"/>
          <w:szCs w:val="20"/>
        </w:rPr>
        <w:t>Workday</w:t>
      </w:r>
      <w:proofErr w:type="spellEnd"/>
      <w:r w:rsidRPr="000C6B8C">
        <w:rPr>
          <w:rFonts w:ascii="Helvetica" w:eastAsia="Arial" w:hAnsi="Helvetica" w:cs="Arial"/>
          <w:color w:val="000000"/>
          <w:sz w:val="20"/>
          <w:szCs w:val="20"/>
        </w:rPr>
        <w:br/>
      </w:r>
      <w:hyperlink r:id="rId5">
        <w:r w:rsidRPr="000C6B8C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Workday</w:t>
        </w:r>
      </w:hyperlink>
      <w:r w:rsidRPr="000C6B8C">
        <w:rPr>
          <w:rFonts w:ascii="Helvetica" w:eastAsia="Arial" w:hAnsi="Helvetica" w:cs="Arial"/>
          <w:color w:val="000000"/>
          <w:sz w:val="20"/>
          <w:szCs w:val="20"/>
        </w:rPr>
        <w:t xml:space="preserve"> </w:t>
      </w:r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ist ein Anbieter von Enterprise-Cloud-Anwendungen für das </w:t>
      </w:r>
      <w:hyperlink r:id="rId6">
        <w:r w:rsidRPr="000C6B8C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Finanz-</w:t>
        </w:r>
      </w:hyperlink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 und</w:t>
      </w:r>
      <w:r w:rsidRPr="000C6B8C">
        <w:rPr>
          <w:rFonts w:ascii="Helvetica" w:eastAsia="Arial" w:hAnsi="Helvetica" w:cs="Arial"/>
          <w:color w:val="000000"/>
          <w:sz w:val="20"/>
          <w:szCs w:val="20"/>
        </w:rPr>
        <w:t xml:space="preserve"> </w:t>
      </w:r>
      <w:hyperlink r:id="rId7">
        <w:r w:rsidRPr="000C6B8C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Personalwesen</w:t>
        </w:r>
      </w:hyperlink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, mit denen sich Kunden an neue Gegebenheiten anpassen und in einer sich wandelnden Welt behaupten können. Die </w:t>
      </w:r>
      <w:proofErr w:type="spellStart"/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>Workday</w:t>
      </w:r>
      <w:proofErr w:type="spellEnd"/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-Anwendungen für Finanzmanagement, Personalwesen, Planung, Ausgabenmanagement und Analyse werden weltweit von Tausenden Unternehmen aus den verschiedensten Branchen eingesetzt </w:t>
      </w:r>
      <w:r w:rsidRPr="000C6B8C">
        <w:rPr>
          <w:rFonts w:ascii="Helvetica" w:eastAsia="Arial" w:hAnsi="Helvetica" w:cs="Arial"/>
          <w:color w:val="000000"/>
          <w:sz w:val="20"/>
          <w:szCs w:val="20"/>
        </w:rPr>
        <w:t xml:space="preserve">– von mittelständischen Unternehmen bis hin zu mehr als 50 % der </w:t>
      </w:r>
      <w:r w:rsidRPr="000C6B8C">
        <w:rPr>
          <w:rFonts w:ascii="Helvetica" w:eastAsia="Arial" w:hAnsi="Helvetica" w:cs="Arial"/>
          <w:i/>
          <w:color w:val="000000"/>
          <w:sz w:val="20"/>
          <w:szCs w:val="20"/>
        </w:rPr>
        <w:t xml:space="preserve">Fortune </w:t>
      </w:r>
      <w:r w:rsidRPr="000C6B8C">
        <w:rPr>
          <w:rFonts w:ascii="Helvetica" w:eastAsia="Arial" w:hAnsi="Helvetica" w:cs="Arial"/>
          <w:color w:val="000000"/>
          <w:sz w:val="20"/>
          <w:szCs w:val="20"/>
        </w:rPr>
        <w:t>500</w:t>
      </w:r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. Für weitere Informationen zu </w:t>
      </w:r>
      <w:proofErr w:type="spellStart"/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>Workday</w:t>
      </w:r>
      <w:proofErr w:type="spellEnd"/>
      <w:r w:rsidRPr="000C6B8C">
        <w:rPr>
          <w:rFonts w:ascii="Helvetica" w:eastAsia="Arial" w:hAnsi="Helvetica" w:cs="Arial"/>
          <w:color w:val="000000"/>
          <w:sz w:val="20"/>
          <w:szCs w:val="20"/>
          <w:highlight w:val="white"/>
        </w:rPr>
        <w:t xml:space="preserve"> besuchen Sie</w:t>
      </w:r>
      <w:r w:rsidRPr="000C6B8C">
        <w:rPr>
          <w:rFonts w:ascii="Helvetica" w:eastAsia="Arial" w:hAnsi="Helvetica" w:cs="Arial"/>
          <w:color w:val="000000"/>
          <w:sz w:val="20"/>
          <w:szCs w:val="20"/>
        </w:rPr>
        <w:t xml:space="preserve"> </w:t>
      </w:r>
      <w:hyperlink r:id="rId8">
        <w:r w:rsidR="00B9585A">
          <w:rPr>
            <w:rFonts w:ascii="Helvetica" w:eastAsia="Arial" w:hAnsi="Helvetica" w:cs="Arial"/>
            <w:color w:val="1155CC"/>
            <w:sz w:val="20"/>
            <w:szCs w:val="20"/>
            <w:u w:val="single"/>
          </w:rPr>
          <w:t>www.workday.ch</w:t>
        </w:r>
      </w:hyperlink>
      <w:r w:rsidR="00B9585A">
        <w:rPr>
          <w:rFonts w:ascii="Helvetica" w:eastAsia="Arial" w:hAnsi="Helvetica" w:cs="Arial"/>
          <w:color w:val="1155CC"/>
          <w:sz w:val="20"/>
          <w:szCs w:val="20"/>
          <w:u w:val="single"/>
        </w:rPr>
        <w:t xml:space="preserve"> </w:t>
      </w:r>
    </w:p>
    <w:p w:rsidR="00446598" w:rsidRPr="000C6B8C" w:rsidRDefault="00446598">
      <w:pPr>
        <w:rPr>
          <w:rFonts w:ascii="Helvetica" w:hAnsi="Helvetica"/>
          <w:sz w:val="20"/>
          <w:szCs w:val="20"/>
        </w:rPr>
      </w:pPr>
    </w:p>
    <w:sectPr w:rsidR="00446598" w:rsidRPr="000C6B8C" w:rsidSect="002F61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58"/>
    <w:rsid w:val="000C6B8C"/>
    <w:rsid w:val="002F61E6"/>
    <w:rsid w:val="00446598"/>
    <w:rsid w:val="00472B4C"/>
    <w:rsid w:val="00590DA9"/>
    <w:rsid w:val="007005BC"/>
    <w:rsid w:val="00B9585A"/>
    <w:rsid w:val="00E3708E"/>
    <w:rsid w:val="00EA5FCD"/>
    <w:rsid w:val="00E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803A9B"/>
  <w15:chartTrackingRefBased/>
  <w15:docId w15:val="{916953AF-58F0-8140-8B14-B491176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6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day.com/de-de/homepa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kday.com/de-de/products/human-capital-management/overvi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kday.com/de-de/products/financial-management/overview.html" TargetMode="External"/><Relationship Id="rId5" Type="http://schemas.openxmlformats.org/officeDocument/2006/relationships/hyperlink" Target="https://www.workday.com/de-d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-gb.newsroom.workday.com/2022-09-21-News-Brief-Workday-Appoints-Angelique-de-Vries-to-President-of-EM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Häfliger</dc:creator>
  <cp:keywords/>
  <dc:description/>
  <cp:lastModifiedBy>Markus Häfliger</cp:lastModifiedBy>
  <cp:revision>7</cp:revision>
  <dcterms:created xsi:type="dcterms:W3CDTF">2022-09-28T07:07:00Z</dcterms:created>
  <dcterms:modified xsi:type="dcterms:W3CDTF">2022-09-28T07:29:00Z</dcterms:modified>
</cp:coreProperties>
</file>